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77" w:rsidRDefault="00A16B77" w:rsidP="00A16B77">
      <w:pPr>
        <w:pStyle w:val="1"/>
        <w:spacing w:after="0" w:line="560" w:lineRule="exact"/>
        <w:jc w:val="center"/>
        <w:rPr>
          <w:rFonts w:hint="eastAsia"/>
        </w:rPr>
      </w:pPr>
      <w:bookmarkStart w:id="0" w:name="_Toc19510"/>
      <w:bookmarkStart w:id="1" w:name="_GoBack"/>
      <w:r>
        <w:rPr>
          <w:rFonts w:hint="eastAsia"/>
        </w:rPr>
        <w:t>信息公开制度</w:t>
      </w:r>
      <w:bookmarkEnd w:id="0"/>
    </w:p>
    <w:bookmarkEnd w:id="1"/>
    <w:p w:rsidR="00A16B77" w:rsidRDefault="00A16B77" w:rsidP="00A16B77">
      <w:pPr>
        <w:adjustRightInd w:val="0"/>
        <w:snapToGrid w:val="0"/>
        <w:spacing w:line="560" w:lineRule="exact"/>
        <w:jc w:val="center"/>
        <w:rPr>
          <w:rFonts w:ascii="方正仿宋_GBK" w:eastAsia="方正仿宋_GBK" w:hint="eastAsia"/>
          <w:spacing w:val="-6"/>
          <w:sz w:val="32"/>
          <w:szCs w:val="32"/>
        </w:rPr>
      </w:pPr>
    </w:p>
    <w:p w:rsidR="00A16B77" w:rsidRDefault="00A16B77" w:rsidP="00A16B77">
      <w:pPr>
        <w:adjustRightInd w:val="0"/>
        <w:snapToGrid w:val="0"/>
        <w:spacing w:beforeLines="50" w:before="156" w:afterLines="50" w:after="156" w:line="560" w:lineRule="exact"/>
        <w:ind w:rightChars="-244" w:right="-512" w:firstLineChars="950" w:firstLine="3040"/>
        <w:rPr>
          <w:rFonts w:eastAsia="方正黑体_GBK"/>
          <w:sz w:val="32"/>
          <w:szCs w:val="32"/>
        </w:rPr>
      </w:pPr>
      <w:r>
        <w:rPr>
          <w:rFonts w:eastAsia="方正黑体_GBK" w:hint="eastAsia"/>
          <w:sz w:val="32"/>
          <w:szCs w:val="32"/>
        </w:rPr>
        <w:t>第一章总则</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为规范盐城市见义勇为基金会【</w:t>
      </w:r>
      <w:r>
        <w:rPr>
          <w:rFonts w:ascii="方正仿宋_GBK" w:eastAsia="方正仿宋_GBK" w:hint="eastAsia"/>
          <w:sz w:val="32"/>
          <w:szCs w:val="32"/>
        </w:rPr>
        <w:t>以下简称“本组织”</w:t>
      </w:r>
      <w:r w:rsidRPr="0097686A">
        <w:rPr>
          <w:rFonts w:ascii="方正仿宋_GBK" w:eastAsia="方正仿宋_GBK" w:hint="eastAsia"/>
          <w:sz w:val="32"/>
          <w:szCs w:val="32"/>
        </w:rPr>
        <w:t>】信息公开行为，保护捐赠人、志愿者、受益人等慈善活动参与者的合法权益，维护社会公众的知情权，促进本组织慈善工作健康有序开展，根据《中华人民共和国慈善法》、民政部《慈善组织信息公开办法》等相关法律规定，制定信息公开制度。</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本制度适用于本组织所有工作人员。</w:t>
      </w:r>
    </w:p>
    <w:p w:rsidR="00A16B77" w:rsidRDefault="00A16B77" w:rsidP="00A16B77">
      <w:pPr>
        <w:adjustRightInd w:val="0"/>
        <w:snapToGrid w:val="0"/>
        <w:spacing w:beforeLines="50" w:before="156" w:afterLines="50" w:after="156" w:line="560" w:lineRule="exact"/>
        <w:ind w:rightChars="-244" w:right="-512"/>
        <w:jc w:val="center"/>
        <w:rPr>
          <w:rFonts w:eastAsia="方正黑体_GBK"/>
          <w:sz w:val="32"/>
          <w:szCs w:val="32"/>
        </w:rPr>
      </w:pPr>
      <w:r>
        <w:rPr>
          <w:rFonts w:eastAsia="方正黑体_GBK" w:hint="eastAsia"/>
          <w:sz w:val="32"/>
          <w:szCs w:val="32"/>
        </w:rPr>
        <w:t>第二章信息公开的范围</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本组织应当公开的基本信息，包括：</w:t>
      </w:r>
    </w:p>
    <w:p w:rsidR="00A16B77" w:rsidRPr="0097686A" w:rsidRDefault="00A16B77" w:rsidP="00A16B77">
      <w:pPr>
        <w:tabs>
          <w:tab w:val="left" w:pos="0"/>
        </w:tabs>
        <w:spacing w:line="560" w:lineRule="exact"/>
        <w:ind w:left="709" w:rightChars="-27" w:right="-57"/>
        <w:rPr>
          <w:rFonts w:ascii="方正仿宋_GBK" w:eastAsia="方正仿宋_GBK"/>
          <w:sz w:val="32"/>
          <w:szCs w:val="32"/>
        </w:rPr>
      </w:pPr>
      <w:r w:rsidRPr="0097686A">
        <w:rPr>
          <w:rFonts w:ascii="方正仿宋_GBK" w:eastAsia="方正仿宋_GBK"/>
          <w:sz w:val="32"/>
          <w:szCs w:val="32"/>
        </w:rPr>
        <w:t xml:space="preserve">1. </w:t>
      </w:r>
      <w:r w:rsidRPr="0097686A">
        <w:rPr>
          <w:rFonts w:ascii="方正仿宋_GBK" w:eastAsia="方正仿宋_GBK" w:hint="eastAsia"/>
          <w:sz w:val="32"/>
          <w:szCs w:val="32"/>
        </w:rPr>
        <w:t>经民政部门核准的章程；</w:t>
      </w:r>
    </w:p>
    <w:p w:rsidR="00A16B77" w:rsidRPr="0097686A" w:rsidRDefault="00A16B77" w:rsidP="00A16B77">
      <w:pPr>
        <w:tabs>
          <w:tab w:val="left" w:pos="0"/>
        </w:tabs>
        <w:spacing w:line="560" w:lineRule="exact"/>
        <w:ind w:left="709" w:rightChars="-27" w:right="-57"/>
        <w:rPr>
          <w:rFonts w:ascii="方正仿宋_GBK" w:eastAsia="方正仿宋_GBK"/>
          <w:sz w:val="32"/>
          <w:szCs w:val="32"/>
        </w:rPr>
      </w:pPr>
      <w:r w:rsidRPr="0097686A">
        <w:rPr>
          <w:rFonts w:ascii="方正仿宋_GBK" w:eastAsia="方正仿宋_GBK"/>
          <w:sz w:val="32"/>
          <w:szCs w:val="32"/>
        </w:rPr>
        <w:t xml:space="preserve">2. </w:t>
      </w:r>
      <w:r w:rsidRPr="0097686A">
        <w:rPr>
          <w:rFonts w:ascii="方正仿宋_GBK" w:eastAsia="方正仿宋_GBK" w:hint="eastAsia"/>
          <w:sz w:val="32"/>
          <w:szCs w:val="32"/>
        </w:rPr>
        <w:t>决策、执行、监督机构成员信息；</w:t>
      </w:r>
    </w:p>
    <w:p w:rsidR="00A16B77" w:rsidRPr="0097686A" w:rsidRDefault="00A16B77" w:rsidP="00A16B77">
      <w:pPr>
        <w:tabs>
          <w:tab w:val="left" w:pos="0"/>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t xml:space="preserve">3. </w:t>
      </w:r>
      <w:r w:rsidRPr="0097686A">
        <w:rPr>
          <w:rFonts w:ascii="方正仿宋_GBK" w:eastAsia="方正仿宋_GBK" w:hint="eastAsia"/>
          <w:sz w:val="32"/>
          <w:szCs w:val="32"/>
        </w:rPr>
        <w:t>下设的办事机构、分支机构、代表机构、专项基金和其他机构的名称、设立时间、存续情况、业务范围或者主要职能；</w:t>
      </w:r>
    </w:p>
    <w:p w:rsidR="00A16B77" w:rsidRPr="0097686A" w:rsidRDefault="00A16B77" w:rsidP="00A16B77">
      <w:pPr>
        <w:tabs>
          <w:tab w:val="left" w:pos="0"/>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t xml:space="preserve">4. </w:t>
      </w:r>
      <w:r w:rsidRPr="0097686A">
        <w:rPr>
          <w:rFonts w:ascii="方正仿宋_GBK" w:eastAsia="方正仿宋_GBK" w:hint="eastAsia"/>
          <w:sz w:val="32"/>
          <w:szCs w:val="32"/>
        </w:rPr>
        <w:t>发起人、主要捐赠人、管理人员、被投资方以及与本组织存在控制、共同控制或者重大影响关系的个人或者组织【</w:t>
      </w:r>
      <w:r w:rsidRPr="00877F3E">
        <w:rPr>
          <w:rFonts w:ascii="方正仿宋_GBK" w:eastAsia="方正仿宋_GBK" w:hint="eastAsia"/>
          <w:sz w:val="32"/>
          <w:szCs w:val="32"/>
        </w:rPr>
        <w:t>以下简称重要关联方</w:t>
      </w:r>
      <w:r w:rsidRPr="0097686A">
        <w:rPr>
          <w:rFonts w:ascii="方正仿宋_GBK" w:eastAsia="方正仿宋_GBK" w:hint="eastAsia"/>
          <w:sz w:val="32"/>
          <w:szCs w:val="32"/>
        </w:rPr>
        <w:t>】；</w:t>
      </w:r>
    </w:p>
    <w:p w:rsidR="00A16B77" w:rsidRPr="0097686A" w:rsidRDefault="00A16B77" w:rsidP="00A16B77">
      <w:pPr>
        <w:tabs>
          <w:tab w:val="left" w:pos="0"/>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t xml:space="preserve">5. </w:t>
      </w:r>
      <w:r w:rsidRPr="0097686A">
        <w:rPr>
          <w:rFonts w:ascii="方正仿宋_GBK" w:eastAsia="方正仿宋_GBK" w:hint="eastAsia"/>
          <w:sz w:val="32"/>
          <w:szCs w:val="32"/>
        </w:rPr>
        <w:t>本组织的联系人、联系方式、投诉举报电话，以本组织名义开通的门户网站、官方微博、</w:t>
      </w:r>
      <w:proofErr w:type="gramStart"/>
      <w:r w:rsidRPr="0097686A">
        <w:rPr>
          <w:rFonts w:ascii="方正仿宋_GBK" w:eastAsia="方正仿宋_GBK" w:hint="eastAsia"/>
          <w:sz w:val="32"/>
          <w:szCs w:val="32"/>
        </w:rPr>
        <w:t>官方微信或者</w:t>
      </w:r>
      <w:proofErr w:type="gramEnd"/>
      <w:r w:rsidRPr="0097686A">
        <w:rPr>
          <w:rFonts w:ascii="方正仿宋_GBK" w:eastAsia="方正仿宋_GBK" w:hint="eastAsia"/>
          <w:sz w:val="32"/>
          <w:szCs w:val="32"/>
        </w:rPr>
        <w:t>移动客户端等网络平台；</w:t>
      </w:r>
    </w:p>
    <w:p w:rsidR="00A16B77" w:rsidRPr="0097686A" w:rsidRDefault="00A16B77" w:rsidP="00A16B77">
      <w:pPr>
        <w:tabs>
          <w:tab w:val="left" w:pos="1277"/>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lastRenderedPageBreak/>
        <w:t xml:space="preserve">6. </w:t>
      </w:r>
      <w:r w:rsidRPr="0097686A">
        <w:rPr>
          <w:rFonts w:ascii="方正仿宋_GBK" w:eastAsia="方正仿宋_GBK" w:hint="eastAsia"/>
          <w:sz w:val="32"/>
          <w:szCs w:val="32"/>
        </w:rPr>
        <w:t>本组织的信息公开制度、项目管理制度、财务和资产管理制度、薪酬管理制度等经本组织决策机构审议通过，应予公开的其他制度。</w:t>
      </w:r>
    </w:p>
    <w:p w:rsidR="00A16B77" w:rsidRPr="0097686A" w:rsidRDefault="00A16B77" w:rsidP="00A16B77">
      <w:pPr>
        <w:tabs>
          <w:tab w:val="left" w:pos="1277"/>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hint="eastAsia"/>
          <w:sz w:val="32"/>
          <w:szCs w:val="32"/>
        </w:rPr>
        <w:t>本组织取得公开募捐资格后应当公开的基本信息还包括：</w:t>
      </w:r>
    </w:p>
    <w:p w:rsidR="00A16B77" w:rsidRPr="0097686A" w:rsidRDefault="00A16B77" w:rsidP="00A16B77">
      <w:pPr>
        <w:tabs>
          <w:tab w:val="left" w:pos="1277"/>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t xml:space="preserve">1. </w:t>
      </w:r>
      <w:r w:rsidRPr="0097686A">
        <w:rPr>
          <w:rFonts w:ascii="方正仿宋_GBK" w:eastAsia="方正仿宋_GBK" w:hint="eastAsia"/>
          <w:sz w:val="32"/>
          <w:szCs w:val="32"/>
        </w:rPr>
        <w:t>按年度公开在本组织领取报酬从高到低排序前五位人员的报酬金额；</w:t>
      </w:r>
    </w:p>
    <w:p w:rsidR="00A16B77" w:rsidRPr="0097686A" w:rsidRDefault="00A16B77" w:rsidP="00A16B77">
      <w:pPr>
        <w:tabs>
          <w:tab w:val="left" w:pos="1277"/>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sz w:val="32"/>
          <w:szCs w:val="32"/>
        </w:rPr>
        <w:t xml:space="preserve">2. </w:t>
      </w:r>
      <w:r w:rsidRPr="0097686A">
        <w:rPr>
          <w:rFonts w:ascii="方正仿宋_GBK" w:eastAsia="方正仿宋_GBK" w:hint="eastAsia"/>
          <w:sz w:val="32"/>
          <w:szCs w:val="32"/>
        </w:rPr>
        <w:t>本组织出国（境）经费、车辆购置及运行费用、招待费用、差旅费用的标准。</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本组织应当公开的善款收入信息，包括：向本组织进行捐赠的捐款人姓名或捐款单位名称、捐赠协议，以及捐赠款物品名</w:t>
      </w:r>
      <w:r w:rsidRPr="00877F3E">
        <w:rPr>
          <w:rFonts w:ascii="方正仿宋_GBK" w:eastAsia="方正仿宋_GBK" w:hint="eastAsia"/>
          <w:sz w:val="32"/>
          <w:szCs w:val="32"/>
        </w:rPr>
        <w:t>【含货币资金、实物、股权资产、有价证券等】</w:t>
      </w:r>
      <w:r w:rsidRPr="0097686A">
        <w:rPr>
          <w:rFonts w:ascii="方正仿宋_GBK" w:eastAsia="方正仿宋_GBK" w:hint="eastAsia"/>
          <w:sz w:val="32"/>
          <w:szCs w:val="32"/>
        </w:rPr>
        <w:t>、捐赠数量、捐赠价值金额等。</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本组织应当公开的慈善公益项目【</w:t>
      </w:r>
      <w:r w:rsidRPr="00877F3E">
        <w:rPr>
          <w:rFonts w:ascii="方正仿宋_GBK" w:eastAsia="方正仿宋_GBK" w:hint="eastAsia"/>
          <w:sz w:val="32"/>
          <w:szCs w:val="32"/>
        </w:rPr>
        <w:t>含慈善信托</w:t>
      </w:r>
      <w:r w:rsidRPr="0097686A">
        <w:rPr>
          <w:rFonts w:ascii="方正仿宋_GBK" w:eastAsia="方正仿宋_GBK" w:hint="eastAsia"/>
          <w:sz w:val="32"/>
          <w:szCs w:val="32"/>
        </w:rPr>
        <w:t>】进展信息，包括：</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1. </w:t>
      </w:r>
      <w:r w:rsidRPr="0097686A">
        <w:rPr>
          <w:rFonts w:ascii="方正仿宋_GBK" w:eastAsia="方正仿宋_GBK" w:hint="eastAsia"/>
          <w:sz w:val="32"/>
          <w:szCs w:val="32"/>
        </w:rPr>
        <w:t>项目正式启动时【</w:t>
      </w:r>
      <w:r w:rsidRPr="00877F3E">
        <w:rPr>
          <w:rFonts w:ascii="方正仿宋_GBK" w:eastAsia="方正仿宋_GBK" w:hint="eastAsia"/>
          <w:sz w:val="32"/>
          <w:szCs w:val="32"/>
        </w:rPr>
        <w:t>以财务付款日为节点</w:t>
      </w:r>
      <w:r w:rsidRPr="0097686A">
        <w:rPr>
          <w:rFonts w:ascii="方正仿宋_GBK" w:eastAsia="方正仿宋_GBK" w:hint="eastAsia"/>
          <w:sz w:val="32"/>
          <w:szCs w:val="32"/>
        </w:rPr>
        <w:t>】，应当公布项目基本信息；参与慈善信托活动的，应当在慈善信托备案后公布慈善信托基本信息。主要包括项目（慈善信托）名称、目的、实施期限、参与或执行方名称、项目资金预算（慈善信托财产金额及年度预设慈善支出比例），以及受益人范围、确定标准和方法、资助标准、工作流程和工作规范等信息。</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2. </w:t>
      </w:r>
      <w:r w:rsidRPr="0097686A">
        <w:rPr>
          <w:rFonts w:ascii="方正仿宋_GBK" w:eastAsia="方正仿宋_GBK" w:hint="eastAsia"/>
          <w:sz w:val="32"/>
          <w:szCs w:val="32"/>
        </w:rPr>
        <w:t>项目（慈善信托）执行期间，定期公开进展信息；慈善信托发生变更备案、或重新备案的，应当公布变更事由及内容等相关信息。</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lastRenderedPageBreak/>
        <w:t xml:space="preserve">3. </w:t>
      </w:r>
      <w:r w:rsidRPr="0097686A">
        <w:rPr>
          <w:rFonts w:ascii="方正仿宋_GBK" w:eastAsia="方正仿宋_GBK" w:hint="eastAsia"/>
          <w:sz w:val="32"/>
          <w:szCs w:val="32"/>
        </w:rPr>
        <w:t>项目（慈善信托）结束后，应当公布项目实施情况、项目结果与成效信息，包括项目名称、项目内容、实施地域、受益人群人数、来自公开募捐和其他来源的收入、项目的支出情况、项目结束后剩余财产的处理情况、项目评估报告、新闻媒体报道等，以及重大活动项目专项审计报告。</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4. </w:t>
      </w:r>
      <w:r w:rsidRPr="0097686A">
        <w:rPr>
          <w:rFonts w:ascii="方正仿宋_GBK" w:eastAsia="方正仿宋_GBK" w:hint="eastAsia"/>
          <w:sz w:val="32"/>
          <w:szCs w:val="32"/>
        </w:rPr>
        <w:t>项目（慈善信托）因故终止的，应当公布终止事由、日期、剩余资金（财产）处分方案、信托事务处理情况说明、清算报告等。</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本组织做慈善信托委托人或受托人、执行合作方的，均应将此单慈善信托作为本组织的慈善公益项目，及时公开相关信息。</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本组织应当公开年度工作报告和财务会计报告、重大公益项目评估报告，以及本组织取得公开募捐资格后的年度财务审计报告。</w:t>
      </w:r>
    </w:p>
    <w:p w:rsidR="00A16B77" w:rsidRPr="0097686A" w:rsidRDefault="00A16B77" w:rsidP="00A16B77">
      <w:pPr>
        <w:tabs>
          <w:tab w:val="left" w:pos="1277"/>
        </w:tabs>
        <w:spacing w:line="560" w:lineRule="exact"/>
        <w:ind w:rightChars="-27" w:right="-57" w:firstLineChars="221" w:firstLine="707"/>
        <w:rPr>
          <w:rFonts w:ascii="方正仿宋_GBK" w:eastAsia="方正仿宋_GBK"/>
          <w:sz w:val="32"/>
          <w:szCs w:val="32"/>
        </w:rPr>
      </w:pPr>
      <w:r w:rsidRPr="0097686A">
        <w:rPr>
          <w:rFonts w:ascii="方正仿宋_GBK" w:eastAsia="方正仿宋_GBK" w:hint="eastAsia"/>
          <w:sz w:val="32"/>
          <w:szCs w:val="32"/>
        </w:rPr>
        <w:t>本组织担任慈善信托受托人的，应当每年至少一次向社会公开信托事务处理情况及财务状况。</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本组织应当公开重大资产变动及投资、重大交换交易及资金往来等情况和专项审计报告。</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本组织应当公开关联交易等行为的具体内容和金额，包括：</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1. </w:t>
      </w:r>
      <w:r w:rsidRPr="0097686A">
        <w:rPr>
          <w:rFonts w:ascii="方正仿宋_GBK" w:eastAsia="方正仿宋_GBK" w:hint="eastAsia"/>
          <w:sz w:val="32"/>
          <w:szCs w:val="32"/>
        </w:rPr>
        <w:t>接受重要关联方捐赠；</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2. </w:t>
      </w:r>
      <w:r w:rsidRPr="0097686A">
        <w:rPr>
          <w:rFonts w:ascii="方正仿宋_GBK" w:eastAsia="方正仿宋_GBK" w:hint="eastAsia"/>
          <w:sz w:val="32"/>
          <w:szCs w:val="32"/>
        </w:rPr>
        <w:t>对重要关联方进行资助；</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3. </w:t>
      </w:r>
      <w:r w:rsidRPr="0097686A">
        <w:rPr>
          <w:rFonts w:ascii="方正仿宋_GBK" w:eastAsia="方正仿宋_GBK" w:hint="eastAsia"/>
          <w:sz w:val="32"/>
          <w:szCs w:val="32"/>
        </w:rPr>
        <w:t>与重要关联方共同投资；</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4. </w:t>
      </w:r>
      <w:r w:rsidRPr="0097686A">
        <w:rPr>
          <w:rFonts w:ascii="方正仿宋_GBK" w:eastAsia="方正仿宋_GBK" w:hint="eastAsia"/>
          <w:sz w:val="32"/>
          <w:szCs w:val="32"/>
        </w:rPr>
        <w:t>委托重要关联方开展投资活动；</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lastRenderedPageBreak/>
        <w:t xml:space="preserve">5. </w:t>
      </w:r>
      <w:r w:rsidRPr="0097686A">
        <w:rPr>
          <w:rFonts w:ascii="方正仿宋_GBK" w:eastAsia="方正仿宋_GBK" w:hint="eastAsia"/>
          <w:sz w:val="32"/>
          <w:szCs w:val="32"/>
        </w:rPr>
        <w:t>与重要关联方发生交易；</w:t>
      </w:r>
    </w:p>
    <w:p w:rsidR="00A16B77" w:rsidRPr="0097686A" w:rsidRDefault="00A16B77" w:rsidP="00A16B77">
      <w:pPr>
        <w:spacing w:line="560" w:lineRule="exact"/>
        <w:ind w:rightChars="-27" w:right="-57" w:firstLine="709"/>
        <w:rPr>
          <w:rFonts w:ascii="方正仿宋_GBK" w:eastAsia="方正仿宋_GBK"/>
          <w:sz w:val="32"/>
          <w:szCs w:val="32"/>
        </w:rPr>
      </w:pPr>
      <w:r w:rsidRPr="0097686A">
        <w:rPr>
          <w:rFonts w:ascii="方正仿宋_GBK" w:eastAsia="方正仿宋_GBK"/>
          <w:sz w:val="32"/>
          <w:szCs w:val="32"/>
        </w:rPr>
        <w:t xml:space="preserve">6. </w:t>
      </w:r>
      <w:r w:rsidRPr="0097686A">
        <w:rPr>
          <w:rFonts w:ascii="方正仿宋_GBK" w:eastAsia="方正仿宋_GBK" w:hint="eastAsia"/>
          <w:sz w:val="32"/>
          <w:szCs w:val="32"/>
        </w:rPr>
        <w:t>与重要关联方发生资金往来。</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本组织应当公开定向募捐情况、捐赠款物管理使用情况。</w:t>
      </w:r>
    </w:p>
    <w:p w:rsidR="00A16B77" w:rsidRPr="0097686A" w:rsidRDefault="00A16B77" w:rsidP="00A16B77">
      <w:pPr>
        <w:numPr>
          <w:ilvl w:val="0"/>
          <w:numId w:val="1"/>
        </w:numPr>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取得公开募捐资格后，开展公开募捐活动应当公开的活动信息包括：本组织名称、公开募捐资格证书、公开募捐活动名称、备案的募捐方案、联系方式、募捐信息查询方法、合作方有关信息等，以及募得款物情况、已经使用的募得款物的用途【包括用于慈善项目和其他用途的支出情况】、尚未使用的募得款物的使用计划。</w:t>
      </w:r>
    </w:p>
    <w:p w:rsidR="00A16B77" w:rsidRPr="0097686A" w:rsidRDefault="00A16B77" w:rsidP="00A16B77">
      <w:pPr>
        <w:numPr>
          <w:ilvl w:val="0"/>
          <w:numId w:val="1"/>
        </w:numPr>
        <w:tabs>
          <w:tab w:val="left" w:pos="0"/>
        </w:tabs>
        <w:spacing w:line="560" w:lineRule="exact"/>
        <w:ind w:rightChars="-27" w:right="-57" w:firstLine="709"/>
        <w:rPr>
          <w:rFonts w:ascii="方正仿宋_GBK" w:eastAsia="方正仿宋_GBK"/>
          <w:sz w:val="32"/>
          <w:szCs w:val="32"/>
        </w:rPr>
      </w:pPr>
      <w:r w:rsidRPr="0097686A">
        <w:rPr>
          <w:rFonts w:ascii="方正仿宋_GBK" w:eastAsia="方正仿宋_GBK" w:hint="eastAsia"/>
          <w:sz w:val="32"/>
          <w:szCs w:val="32"/>
        </w:rPr>
        <w:t>本组织招募志愿者参与慈善服务的，应当公示与慈善服务有关的全部信息，以及在服务过程中可能发生的风险。</w:t>
      </w:r>
    </w:p>
    <w:p w:rsidR="00A16B77" w:rsidRDefault="00A16B77" w:rsidP="00A16B77">
      <w:pPr>
        <w:adjustRightInd w:val="0"/>
        <w:snapToGrid w:val="0"/>
        <w:spacing w:beforeLines="50" w:before="156" w:afterLines="50" w:after="156" w:line="560" w:lineRule="exact"/>
        <w:ind w:rightChars="-244" w:right="-512"/>
        <w:jc w:val="center"/>
        <w:rPr>
          <w:rFonts w:eastAsia="方正黑体_GBK"/>
          <w:sz w:val="32"/>
          <w:szCs w:val="32"/>
        </w:rPr>
      </w:pPr>
      <w:r>
        <w:rPr>
          <w:rFonts w:eastAsia="方正黑体_GBK" w:hint="eastAsia"/>
          <w:sz w:val="32"/>
          <w:szCs w:val="32"/>
        </w:rPr>
        <w:t>第三章信息公开方式及要求</w:t>
      </w:r>
    </w:p>
    <w:p w:rsidR="00A16B77" w:rsidRPr="0097686A" w:rsidRDefault="00A16B77" w:rsidP="00A16B77">
      <w:pPr>
        <w:tabs>
          <w:tab w:val="left" w:pos="0"/>
        </w:tabs>
        <w:spacing w:line="560" w:lineRule="exact"/>
        <w:ind w:firstLineChars="200" w:firstLine="640"/>
        <w:rPr>
          <w:rFonts w:ascii="方正仿宋_GBK" w:eastAsia="方正仿宋_GBK"/>
          <w:sz w:val="32"/>
          <w:szCs w:val="32"/>
        </w:rPr>
      </w:pPr>
      <w:r w:rsidRPr="0097686A">
        <w:rPr>
          <w:rFonts w:ascii="方正仿宋_GBK" w:eastAsia="方正仿宋_GBK" w:hint="eastAsia"/>
          <w:sz w:val="32"/>
          <w:szCs w:val="32"/>
        </w:rPr>
        <w:t>第十二条本组织信息公开平台为民政部统一信息平台</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（以下简称</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），可以同时在本组织官网“盐城市见义勇为基金会外网”、“盐城市见义勇为基金会微信公众号”等发布相关信息。</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第十三条</w:t>
      </w:r>
      <w:r w:rsidRPr="0097686A">
        <w:rPr>
          <w:rFonts w:ascii="方正仿宋_GBK" w:eastAsia="方正仿宋_GBK"/>
          <w:sz w:val="32"/>
          <w:szCs w:val="32"/>
        </w:rPr>
        <w:t xml:space="preserve"> </w:t>
      </w:r>
      <w:r w:rsidRPr="0097686A">
        <w:rPr>
          <w:rFonts w:ascii="方正仿宋_GBK" w:eastAsia="方正仿宋_GBK" w:hint="eastAsia"/>
          <w:sz w:val="32"/>
          <w:szCs w:val="32"/>
        </w:rPr>
        <w:t>本组织应当公开的信息，须在形成或经本组织决策机构审议通过后</w:t>
      </w:r>
      <w:r w:rsidRPr="0097686A">
        <w:rPr>
          <w:rFonts w:ascii="方正仿宋_GBK" w:eastAsia="方正仿宋_GBK"/>
          <w:sz w:val="32"/>
          <w:szCs w:val="32"/>
        </w:rPr>
        <w:t>30</w:t>
      </w:r>
      <w:r w:rsidRPr="0097686A">
        <w:rPr>
          <w:rFonts w:ascii="方正仿宋_GBK" w:eastAsia="方正仿宋_GBK" w:hint="eastAsia"/>
          <w:sz w:val="32"/>
          <w:szCs w:val="32"/>
        </w:rPr>
        <w:t>日内在</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上向社会公布。</w:t>
      </w:r>
    </w:p>
    <w:p w:rsidR="00A16B77" w:rsidRPr="0097686A" w:rsidRDefault="00A16B77" w:rsidP="00A16B77">
      <w:pPr>
        <w:tabs>
          <w:tab w:val="left" w:pos="0"/>
          <w:tab w:val="left" w:pos="1987"/>
        </w:tabs>
        <w:spacing w:line="560" w:lineRule="exact"/>
        <w:ind w:rightChars="-27" w:right="-57" w:firstLineChars="200" w:firstLine="640"/>
        <w:rPr>
          <w:rFonts w:ascii="方正仿宋_GBK" w:eastAsia="方正仿宋_GBK"/>
          <w:sz w:val="32"/>
          <w:szCs w:val="32"/>
        </w:rPr>
      </w:pPr>
      <w:r w:rsidRPr="0097686A">
        <w:rPr>
          <w:rFonts w:ascii="方正仿宋_GBK" w:eastAsia="方正仿宋_GBK" w:hint="eastAsia"/>
          <w:sz w:val="32"/>
          <w:szCs w:val="32"/>
        </w:rPr>
        <w:t>基本信息发生变更的，本组织在变更后</w:t>
      </w:r>
      <w:r w:rsidRPr="0097686A">
        <w:rPr>
          <w:rFonts w:ascii="方正仿宋_GBK" w:eastAsia="方正仿宋_GBK"/>
          <w:sz w:val="32"/>
          <w:szCs w:val="32"/>
        </w:rPr>
        <w:t>30</w:t>
      </w:r>
      <w:r w:rsidRPr="0097686A">
        <w:rPr>
          <w:rFonts w:ascii="方正仿宋_GBK" w:eastAsia="方正仿宋_GBK" w:hint="eastAsia"/>
          <w:sz w:val="32"/>
          <w:szCs w:val="32"/>
        </w:rPr>
        <w:t>日内在</w:t>
      </w:r>
      <w:r w:rsidRPr="0097686A">
        <w:rPr>
          <w:rFonts w:ascii="方正仿宋_GBK" w:eastAsia="方正仿宋_GBK"/>
          <w:sz w:val="32"/>
          <w:szCs w:val="32"/>
        </w:rPr>
        <w:t xml:space="preserve"> </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向社会公布。</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第十四条本组织取得公开募捐资格后，应当在慈善项目终止后三个月内，在</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向社会公开慈善项目实施情</w:t>
      </w:r>
      <w:r w:rsidRPr="0097686A">
        <w:rPr>
          <w:rFonts w:ascii="方正仿宋_GBK" w:eastAsia="方正仿宋_GBK" w:hint="eastAsia"/>
          <w:sz w:val="32"/>
          <w:szCs w:val="32"/>
        </w:rPr>
        <w:lastRenderedPageBreak/>
        <w:t>况；项目实施周期超过六个月的，至少每三个月公开一次项目实施情况。</w:t>
      </w:r>
    </w:p>
    <w:p w:rsidR="00A16B77" w:rsidRPr="0097686A" w:rsidRDefault="00A16B77" w:rsidP="00A16B77">
      <w:pPr>
        <w:tabs>
          <w:tab w:val="left" w:pos="0"/>
          <w:tab w:val="left" w:pos="1277"/>
        </w:tabs>
        <w:spacing w:line="560" w:lineRule="exact"/>
        <w:ind w:rightChars="-27" w:right="-57" w:firstLineChars="200" w:firstLine="640"/>
        <w:rPr>
          <w:rFonts w:ascii="方正仿宋_GBK" w:eastAsia="方正仿宋_GBK"/>
          <w:sz w:val="32"/>
          <w:szCs w:val="32"/>
        </w:rPr>
      </w:pPr>
      <w:r w:rsidRPr="0097686A">
        <w:rPr>
          <w:rFonts w:ascii="方正仿宋_GBK" w:eastAsia="方正仿宋_GBK" w:hint="eastAsia"/>
          <w:sz w:val="32"/>
          <w:szCs w:val="32"/>
        </w:rPr>
        <w:t>开展公开募捐活动的，应当在公开募捐活动结束后三个月内，在</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向社会公开公开募捐活动相关活动信息；公开募捐周期超过六个月的，至少每三个月公开一次募得款物情况和已经使用的募得款物的用途</w:t>
      </w:r>
      <w:r w:rsidRPr="00877F3E">
        <w:rPr>
          <w:rFonts w:ascii="方正仿宋_GBK" w:eastAsia="方正仿宋_GBK" w:hint="eastAsia"/>
          <w:sz w:val="32"/>
          <w:szCs w:val="32"/>
        </w:rPr>
        <w:t>【包括用于慈善项目和其他用途的支出情况】。</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第十五条本组织在</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为每年的年度工作报告和财务会计报告、每个公开募捐活动和慈善项目建立相对独立的信息条目。</w:t>
      </w:r>
    </w:p>
    <w:p w:rsidR="00A16B77" w:rsidRPr="0097686A" w:rsidRDefault="00A16B77" w:rsidP="00A16B77">
      <w:pPr>
        <w:tabs>
          <w:tab w:val="left" w:pos="0"/>
          <w:tab w:val="left" w:pos="1277"/>
        </w:tabs>
        <w:spacing w:line="560" w:lineRule="exact"/>
        <w:ind w:rightChars="-27" w:right="-57" w:firstLineChars="100" w:firstLine="320"/>
        <w:rPr>
          <w:rFonts w:ascii="方正仿宋_GBK" w:eastAsia="方正仿宋_GBK"/>
          <w:sz w:val="32"/>
          <w:szCs w:val="32"/>
        </w:rPr>
      </w:pPr>
      <w:r w:rsidRPr="0097686A">
        <w:rPr>
          <w:rFonts w:ascii="方正仿宋_GBK" w:eastAsia="方正仿宋_GBK" w:hint="eastAsia"/>
          <w:sz w:val="32"/>
          <w:szCs w:val="32"/>
        </w:rPr>
        <w:t>需要对录入</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上的信息进行更正的，须在</w:t>
      </w:r>
      <w:r w:rsidRPr="0097686A">
        <w:rPr>
          <w:rFonts w:ascii="方正仿宋_GBK" w:eastAsia="方正仿宋_GBK"/>
          <w:sz w:val="32"/>
          <w:szCs w:val="32"/>
        </w:rPr>
        <w:t>“</w:t>
      </w:r>
      <w:r w:rsidRPr="0097686A">
        <w:rPr>
          <w:rFonts w:ascii="方正仿宋_GBK" w:eastAsia="方正仿宋_GBK" w:hint="eastAsia"/>
          <w:sz w:val="32"/>
          <w:szCs w:val="32"/>
        </w:rPr>
        <w:t>慈善中国</w:t>
      </w:r>
      <w:r w:rsidRPr="0097686A">
        <w:rPr>
          <w:rFonts w:ascii="方正仿宋_GBK" w:eastAsia="方正仿宋_GBK"/>
          <w:sz w:val="32"/>
          <w:szCs w:val="32"/>
        </w:rPr>
        <w:t>”</w:t>
      </w:r>
      <w:r w:rsidRPr="0097686A">
        <w:rPr>
          <w:rFonts w:ascii="方正仿宋_GBK" w:eastAsia="方正仿宋_GBK" w:hint="eastAsia"/>
          <w:sz w:val="32"/>
          <w:szCs w:val="32"/>
        </w:rPr>
        <w:t>填写并公布更正说明；有独立信息条目的，在相应信息条目下予以公布。</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第十六条本组织予以公开的基本信息可以制作成纸质文本置于本组织的住所，方便社会公众查阅、复制。</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第十七条本组织应予以公布的信息，应由专人负责，确保及时、详实地向外界公布。</w:t>
      </w:r>
    </w:p>
    <w:p w:rsidR="00A16B77" w:rsidRPr="0097686A" w:rsidRDefault="00A16B77" w:rsidP="00A16B77">
      <w:pPr>
        <w:tabs>
          <w:tab w:val="left" w:pos="0"/>
          <w:tab w:val="left" w:pos="1987"/>
        </w:tabs>
        <w:spacing w:line="560" w:lineRule="exact"/>
        <w:ind w:left="709" w:rightChars="-27" w:right="-57"/>
        <w:rPr>
          <w:rFonts w:ascii="方正仿宋_GBK" w:eastAsia="方正仿宋_GBK"/>
          <w:sz w:val="32"/>
          <w:szCs w:val="32"/>
        </w:rPr>
      </w:pPr>
      <w:r w:rsidRPr="0097686A">
        <w:rPr>
          <w:rFonts w:ascii="方正仿宋_GBK" w:eastAsia="方正仿宋_GBK" w:hint="eastAsia"/>
          <w:sz w:val="32"/>
          <w:szCs w:val="32"/>
        </w:rPr>
        <w:t>第十八条本组织公布的信息相互之间应当一致。</w:t>
      </w:r>
    </w:p>
    <w:p w:rsidR="00A16B77" w:rsidRPr="0097686A" w:rsidRDefault="00A16B77" w:rsidP="00A16B77">
      <w:pPr>
        <w:tabs>
          <w:tab w:val="left" w:pos="0"/>
          <w:tab w:val="left" w:pos="1277"/>
        </w:tabs>
        <w:spacing w:line="560" w:lineRule="exact"/>
        <w:ind w:rightChars="-27" w:right="-57" w:firstLineChars="200" w:firstLine="640"/>
        <w:rPr>
          <w:rFonts w:ascii="方正仿宋_GBK" w:eastAsia="方正仿宋_GBK"/>
          <w:sz w:val="32"/>
          <w:szCs w:val="32"/>
        </w:rPr>
      </w:pPr>
      <w:r w:rsidRPr="0097686A">
        <w:rPr>
          <w:rFonts w:ascii="方正仿宋_GBK" w:eastAsia="方正仿宋_GBK" w:hint="eastAsia"/>
          <w:sz w:val="32"/>
          <w:szCs w:val="32"/>
        </w:rPr>
        <w:t>对外公开有关机关登记、核准、备案的事项时，应当与有关机关的信息一致。</w:t>
      </w:r>
    </w:p>
    <w:p w:rsidR="00A16B77" w:rsidRPr="0097686A" w:rsidRDefault="00A16B77" w:rsidP="00A16B77">
      <w:pPr>
        <w:tabs>
          <w:tab w:val="left" w:pos="0"/>
          <w:tab w:val="left" w:pos="1277"/>
        </w:tabs>
        <w:spacing w:line="560" w:lineRule="exact"/>
        <w:ind w:rightChars="-27" w:right="-57" w:firstLineChars="200" w:firstLine="640"/>
        <w:rPr>
          <w:rFonts w:ascii="方正仿宋_GBK" w:eastAsia="方正仿宋_GBK"/>
          <w:sz w:val="32"/>
          <w:szCs w:val="32"/>
        </w:rPr>
      </w:pPr>
      <w:r w:rsidRPr="0097686A">
        <w:rPr>
          <w:rFonts w:ascii="方正仿宋_GBK" w:eastAsia="方正仿宋_GBK" w:hint="eastAsia"/>
          <w:sz w:val="32"/>
          <w:szCs w:val="32"/>
        </w:rPr>
        <w:t>在其他渠道公布的信息，应当与在统一信息平台上公布的信息一致。</w:t>
      </w:r>
    </w:p>
    <w:p w:rsidR="00A16B77" w:rsidRPr="0097686A" w:rsidRDefault="00A16B77" w:rsidP="00A16B77">
      <w:pPr>
        <w:tabs>
          <w:tab w:val="left" w:pos="0"/>
          <w:tab w:val="left" w:pos="1987"/>
        </w:tabs>
        <w:spacing w:line="560" w:lineRule="exact"/>
        <w:ind w:rightChars="-27" w:right="-57" w:firstLineChars="200" w:firstLine="640"/>
        <w:jc w:val="left"/>
        <w:rPr>
          <w:rFonts w:ascii="方正仿宋_GBK" w:eastAsia="方正仿宋_GBK"/>
          <w:sz w:val="32"/>
          <w:szCs w:val="32"/>
        </w:rPr>
      </w:pPr>
      <w:r w:rsidRPr="0097686A">
        <w:rPr>
          <w:rFonts w:ascii="方正仿宋_GBK" w:eastAsia="方正仿宋_GBK" w:hint="eastAsia"/>
          <w:sz w:val="32"/>
          <w:szCs w:val="32"/>
        </w:rPr>
        <w:t>第十九条涉及国家秘密、商业秘密、个人隐私的信息以及捐赠人、志愿者、受益人、慈善信托的委托人不同意公开</w:t>
      </w:r>
      <w:r w:rsidRPr="0097686A">
        <w:rPr>
          <w:rFonts w:ascii="方正仿宋_GBK" w:eastAsia="方正仿宋_GBK" w:hint="eastAsia"/>
          <w:sz w:val="32"/>
          <w:szCs w:val="32"/>
        </w:rPr>
        <w:lastRenderedPageBreak/>
        <w:t>的姓名、名称、住所、通讯方式等信息，不得公开。</w:t>
      </w:r>
    </w:p>
    <w:p w:rsidR="00A16B77" w:rsidRDefault="00A16B77" w:rsidP="00A16B77">
      <w:pPr>
        <w:adjustRightInd w:val="0"/>
        <w:snapToGrid w:val="0"/>
        <w:spacing w:beforeLines="50" w:before="156" w:afterLines="50" w:after="156" w:line="560" w:lineRule="exact"/>
        <w:ind w:rightChars="-244" w:right="-512"/>
        <w:jc w:val="center"/>
        <w:rPr>
          <w:rFonts w:eastAsia="方正黑体_GBK"/>
          <w:sz w:val="32"/>
          <w:szCs w:val="32"/>
        </w:rPr>
      </w:pPr>
      <w:r>
        <w:rPr>
          <w:rFonts w:eastAsia="方正黑体_GBK" w:hint="eastAsia"/>
          <w:sz w:val="32"/>
          <w:szCs w:val="32"/>
        </w:rPr>
        <w:t>第四章附</w:t>
      </w:r>
      <w:r>
        <w:rPr>
          <w:rFonts w:eastAsia="方正黑体_GBK"/>
          <w:sz w:val="32"/>
          <w:szCs w:val="32"/>
        </w:rPr>
        <w:t xml:space="preserve">   </w:t>
      </w:r>
      <w:r>
        <w:rPr>
          <w:rFonts w:eastAsia="方正黑体_GBK" w:hint="eastAsia"/>
          <w:sz w:val="32"/>
          <w:szCs w:val="32"/>
        </w:rPr>
        <w:t>则</w:t>
      </w:r>
    </w:p>
    <w:p w:rsidR="00A16B77" w:rsidRPr="0097686A" w:rsidRDefault="00A16B77" w:rsidP="00A16B77">
      <w:pPr>
        <w:tabs>
          <w:tab w:val="left" w:pos="0"/>
          <w:tab w:val="left" w:pos="1987"/>
        </w:tabs>
        <w:spacing w:line="560" w:lineRule="exact"/>
        <w:ind w:rightChars="-27" w:right="-57" w:firstLineChars="200" w:firstLine="640"/>
        <w:rPr>
          <w:rFonts w:ascii="方正仿宋_GBK" w:eastAsia="方正仿宋_GBK" w:hint="eastAsia"/>
          <w:sz w:val="32"/>
          <w:szCs w:val="32"/>
        </w:rPr>
      </w:pPr>
      <w:r w:rsidRPr="0097686A">
        <w:rPr>
          <w:rFonts w:ascii="方正仿宋_GBK" w:eastAsia="方正仿宋_GBK" w:hint="eastAsia"/>
          <w:sz w:val="32"/>
          <w:szCs w:val="32"/>
        </w:rPr>
        <w:t>第二十条本制度由本组织理事会办公室负责解释；本制度的修改权属于本组织理事会。</w:t>
      </w:r>
    </w:p>
    <w:p w:rsidR="00A16B77" w:rsidRPr="0097686A" w:rsidRDefault="00A16B77" w:rsidP="00A16B77">
      <w:pPr>
        <w:tabs>
          <w:tab w:val="left" w:pos="0"/>
          <w:tab w:val="left" w:pos="1987"/>
        </w:tabs>
        <w:spacing w:line="560" w:lineRule="exact"/>
        <w:ind w:rightChars="-27" w:right="-57" w:firstLineChars="200" w:firstLine="640"/>
        <w:rPr>
          <w:rFonts w:ascii="方正仿宋_GBK" w:eastAsia="方正仿宋_GBK"/>
          <w:sz w:val="32"/>
          <w:szCs w:val="32"/>
        </w:rPr>
      </w:pPr>
      <w:r w:rsidRPr="0097686A">
        <w:rPr>
          <w:rFonts w:ascii="方正仿宋_GBK" w:eastAsia="方正仿宋_GBK" w:hint="eastAsia"/>
          <w:sz w:val="32"/>
          <w:szCs w:val="32"/>
        </w:rPr>
        <w:t>第二十一条本制度经本组织理事会表决通过后执行。</w:t>
      </w:r>
    </w:p>
    <w:p w:rsidR="00A16B77" w:rsidRDefault="00A16B77" w:rsidP="00A16B77">
      <w:pPr>
        <w:pStyle w:val="1"/>
        <w:spacing w:after="0"/>
        <w:jc w:val="center"/>
        <w:rPr>
          <w:rFonts w:hint="eastAsia"/>
        </w:rPr>
      </w:pPr>
    </w:p>
    <w:p w:rsidR="00A16B77" w:rsidRDefault="00A16B77" w:rsidP="00A16B77">
      <w:pPr>
        <w:pStyle w:val="1"/>
        <w:spacing w:after="0"/>
        <w:jc w:val="center"/>
        <w:rPr>
          <w:rFonts w:hint="eastAsia"/>
        </w:rPr>
      </w:pPr>
    </w:p>
    <w:p w:rsidR="00A16B77" w:rsidRDefault="00A16B77" w:rsidP="00A16B77">
      <w:pPr>
        <w:pStyle w:val="1"/>
        <w:spacing w:after="0"/>
        <w:jc w:val="center"/>
        <w:rPr>
          <w:rFonts w:hint="eastAsia"/>
        </w:rPr>
      </w:pPr>
    </w:p>
    <w:p w:rsidR="00A16B77" w:rsidRDefault="00A16B77" w:rsidP="00A16B77">
      <w:pPr>
        <w:pStyle w:val="1"/>
        <w:spacing w:after="0"/>
        <w:jc w:val="center"/>
        <w:rPr>
          <w:rFonts w:hint="eastAsia"/>
        </w:rPr>
      </w:pPr>
    </w:p>
    <w:p w:rsidR="00A16B77" w:rsidRDefault="00A16B77" w:rsidP="00A16B77">
      <w:pPr>
        <w:pStyle w:val="1"/>
        <w:spacing w:after="0"/>
        <w:jc w:val="center"/>
        <w:rPr>
          <w:rFonts w:hint="eastAsia"/>
        </w:rPr>
      </w:pPr>
    </w:p>
    <w:p w:rsidR="00A16B77" w:rsidRDefault="00A16B77" w:rsidP="00A16B77">
      <w:pPr>
        <w:pStyle w:val="1"/>
        <w:spacing w:after="0"/>
        <w:jc w:val="center"/>
        <w:rPr>
          <w:rFonts w:hint="eastAsia"/>
        </w:rPr>
      </w:pPr>
    </w:p>
    <w:p w:rsidR="00A16B77" w:rsidRPr="006A6C78" w:rsidRDefault="00A16B77" w:rsidP="00A16B77">
      <w:pPr>
        <w:rPr>
          <w:rFonts w:hint="eastAsia"/>
        </w:rPr>
      </w:pPr>
    </w:p>
    <w:p w:rsidR="00A16B77" w:rsidRDefault="00A16B77" w:rsidP="00A16B77">
      <w:pPr>
        <w:pStyle w:val="1"/>
        <w:spacing w:after="0"/>
        <w:jc w:val="center"/>
        <w:rPr>
          <w:rFonts w:hint="eastAsia"/>
        </w:rPr>
      </w:pPr>
    </w:p>
    <w:p w:rsidR="0028506A" w:rsidRPr="00A16B77" w:rsidRDefault="00B74F6F"/>
    <w:sectPr w:rsidR="0028506A" w:rsidRPr="00A16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6F" w:rsidRDefault="00B74F6F" w:rsidP="00A16B77">
      <w:r>
        <w:separator/>
      </w:r>
    </w:p>
  </w:endnote>
  <w:endnote w:type="continuationSeparator" w:id="0">
    <w:p w:rsidR="00B74F6F" w:rsidRDefault="00B74F6F" w:rsidP="00A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6F" w:rsidRDefault="00B74F6F" w:rsidP="00A16B77">
      <w:r>
        <w:separator/>
      </w:r>
    </w:p>
  </w:footnote>
  <w:footnote w:type="continuationSeparator" w:id="0">
    <w:p w:rsidR="00B74F6F" w:rsidRDefault="00B74F6F" w:rsidP="00A1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DAF39"/>
    <w:multiLevelType w:val="singleLevel"/>
    <w:tmpl w:val="24CE4EF2"/>
    <w:lvl w:ilvl="0">
      <w:start w:val="1"/>
      <w:numFmt w:val="chineseCounting"/>
      <w:suff w:val="space"/>
      <w:lvlText w:val="第%1条"/>
      <w:lvlJc w:val="left"/>
      <w:pPr>
        <w:tabs>
          <w:tab w:val="left" w:pos="1987"/>
        </w:tabs>
      </w:pPr>
      <w:rPr>
        <w:rFonts w:ascii="宋体" w:eastAsia="宋体" w:hAnsi="宋体" w:cs="Times New Roman"/>
        <w:b/>
        <w:sz w:val="32"/>
        <w:szCs w:val="3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6A"/>
    <w:rsid w:val="001D28F6"/>
    <w:rsid w:val="0087176A"/>
    <w:rsid w:val="00A16B77"/>
    <w:rsid w:val="00B74F6F"/>
    <w:rsid w:val="00E2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77"/>
    <w:pPr>
      <w:widowControl w:val="0"/>
      <w:jc w:val="both"/>
    </w:pPr>
    <w:rPr>
      <w:rFonts w:ascii="Times New Roman" w:eastAsia="宋体" w:hAnsi="Times New Roman" w:cs="Times New Roman"/>
      <w:szCs w:val="24"/>
    </w:rPr>
  </w:style>
  <w:style w:type="paragraph" w:styleId="1">
    <w:name w:val="heading 1"/>
    <w:basedOn w:val="a"/>
    <w:next w:val="a"/>
    <w:link w:val="1Char"/>
    <w:qFormat/>
    <w:rsid w:val="00A16B7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B77"/>
    <w:rPr>
      <w:sz w:val="18"/>
      <w:szCs w:val="18"/>
    </w:rPr>
  </w:style>
  <w:style w:type="paragraph" w:styleId="a4">
    <w:name w:val="footer"/>
    <w:basedOn w:val="a"/>
    <w:link w:val="Char0"/>
    <w:uiPriority w:val="99"/>
    <w:unhideWhenUsed/>
    <w:rsid w:val="00A16B77"/>
    <w:pPr>
      <w:tabs>
        <w:tab w:val="center" w:pos="4153"/>
        <w:tab w:val="right" w:pos="8306"/>
      </w:tabs>
      <w:snapToGrid w:val="0"/>
      <w:jc w:val="left"/>
    </w:pPr>
    <w:rPr>
      <w:sz w:val="18"/>
      <w:szCs w:val="18"/>
    </w:rPr>
  </w:style>
  <w:style w:type="character" w:customStyle="1" w:styleId="Char0">
    <w:name w:val="页脚 Char"/>
    <w:basedOn w:val="a0"/>
    <w:link w:val="a4"/>
    <w:uiPriority w:val="99"/>
    <w:rsid w:val="00A16B77"/>
    <w:rPr>
      <w:sz w:val="18"/>
      <w:szCs w:val="18"/>
    </w:rPr>
  </w:style>
  <w:style w:type="character" w:customStyle="1" w:styleId="1Char">
    <w:name w:val="标题 1 Char"/>
    <w:basedOn w:val="a0"/>
    <w:link w:val="1"/>
    <w:rsid w:val="00A16B77"/>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77"/>
    <w:pPr>
      <w:widowControl w:val="0"/>
      <w:jc w:val="both"/>
    </w:pPr>
    <w:rPr>
      <w:rFonts w:ascii="Times New Roman" w:eastAsia="宋体" w:hAnsi="Times New Roman" w:cs="Times New Roman"/>
      <w:szCs w:val="24"/>
    </w:rPr>
  </w:style>
  <w:style w:type="paragraph" w:styleId="1">
    <w:name w:val="heading 1"/>
    <w:basedOn w:val="a"/>
    <w:next w:val="a"/>
    <w:link w:val="1Char"/>
    <w:qFormat/>
    <w:rsid w:val="00A16B7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B77"/>
    <w:rPr>
      <w:sz w:val="18"/>
      <w:szCs w:val="18"/>
    </w:rPr>
  </w:style>
  <w:style w:type="paragraph" w:styleId="a4">
    <w:name w:val="footer"/>
    <w:basedOn w:val="a"/>
    <w:link w:val="Char0"/>
    <w:uiPriority w:val="99"/>
    <w:unhideWhenUsed/>
    <w:rsid w:val="00A16B77"/>
    <w:pPr>
      <w:tabs>
        <w:tab w:val="center" w:pos="4153"/>
        <w:tab w:val="right" w:pos="8306"/>
      </w:tabs>
      <w:snapToGrid w:val="0"/>
      <w:jc w:val="left"/>
    </w:pPr>
    <w:rPr>
      <w:sz w:val="18"/>
      <w:szCs w:val="18"/>
    </w:rPr>
  </w:style>
  <w:style w:type="character" w:customStyle="1" w:styleId="Char0">
    <w:name w:val="页脚 Char"/>
    <w:basedOn w:val="a0"/>
    <w:link w:val="a4"/>
    <w:uiPriority w:val="99"/>
    <w:rsid w:val="00A16B77"/>
    <w:rPr>
      <w:sz w:val="18"/>
      <w:szCs w:val="18"/>
    </w:rPr>
  </w:style>
  <w:style w:type="character" w:customStyle="1" w:styleId="1Char">
    <w:name w:val="标题 1 Char"/>
    <w:basedOn w:val="a0"/>
    <w:link w:val="1"/>
    <w:rsid w:val="00A16B77"/>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369</Words>
  <Characters>2106</Characters>
  <Application>Microsoft Office Word</Application>
  <DocSecurity>0</DocSecurity>
  <Lines>17</Lines>
  <Paragraphs>4</Paragraphs>
  <ScaleCrop>false</ScaleCrop>
  <Company>Microsoft</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2021-02-22T02:32:00Z</dcterms:created>
  <dcterms:modified xsi:type="dcterms:W3CDTF">2021-02-22T02:35:00Z</dcterms:modified>
</cp:coreProperties>
</file>